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AI‑first support playbook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AI in support works best when it’s focused, practical, and tied to real outcomes. This playbook helps you cut through the hype, run a smart AI pilot, and improve support performance without overcomplicating your operation. </w:t>
      </w:r>
    </w:p>
    <w:p w:rsidR="00000000" w:rsidDel="00000000" w:rsidP="00000000" w:rsidRDefault="00000000" w:rsidRPr="00000000" w14:paraId="00000004">
      <w:pPr>
        <w:rPr/>
      </w:pPr>
      <w:r w:rsidDel="00000000" w:rsidR="00000000" w:rsidRPr="00000000">
        <w:rPr>
          <w:rtl w:val="0"/>
        </w:rPr>
        <w:t xml:space="preserve">It’s designed for support leaders who want to start small, prioritize the use cases that actually matter, and prove measurable impact before scaling. Rather than prescribing tools or architectures, it focuses on decisions, guardrails, and operating habits that help teams adopt AI in a way that sticks.</w:t>
      </w:r>
    </w:p>
    <w:p w:rsidR="00000000" w:rsidDel="00000000" w:rsidP="00000000" w:rsidRDefault="00000000" w:rsidRPr="00000000" w14:paraId="00000005">
      <w:pPr>
        <w:keepNext w:val="0"/>
        <w:keepLines w:val="0"/>
        <w:spacing w:after="80" w:before="360" w:lineRule="auto"/>
        <w:rPr/>
      </w:pPr>
      <w:r w:rsidDel="00000000" w:rsidR="00000000" w:rsidRPr="00000000">
        <w:rPr>
          <w:b w:val="1"/>
          <w:bCs w:val="1"/>
          <w:rtl w:val="0"/>
        </w:rPr>
        <w:t xml:space="preserve">How to use this playbook</w:t>
      </w:r>
      <w:r w:rsidDel="00000000" w:rsidR="00000000" w:rsidRPr="00000000">
        <w:rPr>
          <w:rtl w:val="0"/>
        </w:rPr>
      </w:r>
    </w:p>
    <w:p w:rsidR="00000000" w:rsidDel="00000000" w:rsidP="00000000" w:rsidRDefault="00000000" w:rsidRPr="00000000" w14:paraId="00000006">
      <w:pPr>
        <w:numPr>
          <w:ilvl w:val="0"/>
          <w:numId w:val="1"/>
        </w:numPr>
        <w:spacing w:after="0" w:afterAutospacing="0" w:before="240" w:lineRule="auto"/>
        <w:ind w:left="720" w:hanging="360"/>
        <w:rPr>
          <w:u w:val="none"/>
        </w:rPr>
      </w:pPr>
      <w:r w:rsidDel="00000000" w:rsidR="00000000" w:rsidRPr="00000000">
        <w:rPr>
          <w:rtl w:val="0"/>
        </w:rPr>
        <w:t xml:space="preserve">Use th</w:t>
      </w:r>
      <w:r w:rsidDel="00000000" w:rsidR="00000000" w:rsidRPr="00000000">
        <w:rPr>
          <w:rtl w:val="0"/>
        </w:rPr>
        <w:t xml:space="preserve">e examples as </w:t>
      </w:r>
      <w:r w:rsidDel="00000000" w:rsidR="00000000" w:rsidRPr="00000000">
        <w:rPr>
          <w:rtl w:val="0"/>
        </w:rPr>
        <w:t xml:space="preserve">guidance </w:t>
      </w:r>
    </w:p>
    <w:p w:rsidR="00000000" w:rsidDel="00000000" w:rsidP="00000000" w:rsidRDefault="00000000" w:rsidRPr="00000000" w14:paraId="00000007">
      <w:pPr>
        <w:numPr>
          <w:ilvl w:val="0"/>
          <w:numId w:val="1"/>
        </w:numPr>
        <w:spacing w:after="0" w:afterAutospacing="0" w:before="0" w:beforeAutospacing="0" w:lineRule="auto"/>
        <w:ind w:left="720" w:hanging="360"/>
        <w:rPr>
          <w:u w:val="none"/>
        </w:rPr>
      </w:pPr>
      <w:r w:rsidDel="00000000" w:rsidR="00000000" w:rsidRPr="00000000">
        <w:rPr>
          <w:rtl w:val="0"/>
        </w:rPr>
        <w:t xml:space="preserve">Replace example text with your own answers.</w:t>
      </w:r>
    </w:p>
    <w:p w:rsidR="00000000" w:rsidDel="00000000" w:rsidP="00000000" w:rsidRDefault="00000000" w:rsidRPr="00000000" w14:paraId="00000008">
      <w:pPr>
        <w:numPr>
          <w:ilvl w:val="0"/>
          <w:numId w:val="1"/>
        </w:numPr>
        <w:spacing w:after="240" w:before="0" w:beforeAutospacing="0" w:lineRule="auto"/>
        <w:ind w:left="720" w:hanging="360"/>
        <w:rPr>
          <w:u w:val="none"/>
        </w:rPr>
      </w:pPr>
      <w:r w:rsidDel="00000000" w:rsidR="00000000" w:rsidRPr="00000000">
        <w:rPr>
          <w:rtl w:val="0"/>
        </w:rPr>
        <w:t xml:space="preserve">If you can’t answer a section, pause and fix the foundation before moving on.</w:t>
      </w:r>
    </w:p>
    <w:p w:rsidR="00000000" w:rsidDel="00000000" w:rsidP="00000000" w:rsidRDefault="00000000" w:rsidRPr="00000000" w14:paraId="00000009">
      <w:pPr>
        <w:keepNext w:val="0"/>
        <w:keepLines w:val="0"/>
        <w:spacing w:after="80" w:before="36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0A">
      <w:pPr>
        <w:keepNext w:val="0"/>
        <w:keepLines w:val="0"/>
        <w:spacing w:after="80" w:before="360" w:lineRule="auto"/>
        <w:rPr/>
      </w:pPr>
      <w:r w:rsidDel="00000000" w:rsidR="00000000" w:rsidRPr="00000000">
        <w:rPr>
          <w:b w:val="1"/>
          <w:bCs w:val="1"/>
          <w:rtl w:val="0"/>
        </w:rPr>
        <w:t xml:space="preserve">1. Define the outcome</w:t>
        <w:br w:type="textWrapping"/>
      </w:r>
      <w:r w:rsidDel="00000000" w:rsidR="00000000" w:rsidRPr="00000000">
        <w:rPr>
          <w:rtl w:val="0"/>
        </w:rPr>
        <w:t xml:space="preserve">Clarify the single support metric or experience AI is meant to improve so success is unambiguous.</w:t>
      </w:r>
    </w:p>
    <w:tbl>
      <w:tblPr>
        <w:tblStyle w:val="Table1"/>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What is the single most important thing AI should improve in support?</w:t>
            </w:r>
          </w:p>
        </w:tc>
      </w:tr>
      <w:tr>
        <w:trPr>
          <w:cantSplit w:val="0"/>
          <w:trHeight w:val="111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Time to resolution</w:t>
            </w:r>
          </w:p>
        </w:tc>
      </w:tr>
    </w:tbl>
    <w:p w:rsidR="00000000" w:rsidDel="00000000" w:rsidP="00000000" w:rsidRDefault="00000000" w:rsidRPr="00000000" w14:paraId="0000000D">
      <w:pPr>
        <w:keepNext w:val="0"/>
        <w:keepLines w:val="0"/>
        <w:spacing w:after="80" w:before="360" w:lineRule="auto"/>
        <w:rPr>
          <w:b w:val="1"/>
          <w:bCs w:val="1"/>
        </w:rPr>
      </w:pPr>
      <w:r w:rsidDel="00000000" w:rsidR="00000000" w:rsidRPr="00000000">
        <w:rPr>
          <w:b w:val="1"/>
          <w:bCs w:val="1"/>
          <w:rtl w:val="0"/>
        </w:rPr>
        <w:t xml:space="preserve">Success definition</w:t>
      </w:r>
    </w:p>
    <w:tbl>
      <w:tblPr>
        <w:tblStyle w:val="Table2"/>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240" w:lineRule="auto"/>
              <w:rPr>
                <w:b w:val="1"/>
                <w:bCs w:val="1"/>
                <w:color w:val="ffffff"/>
              </w:rPr>
            </w:pPr>
            <w:r w:rsidDel="00000000" w:rsidR="00000000" w:rsidRPr="00000000">
              <w:rPr>
                <w:b w:val="1"/>
                <w:bCs w:val="1"/>
                <w:color w:val="ffffff"/>
                <w:rtl w:val="0"/>
              </w:rPr>
              <w:t xml:space="preserve">How will you know this worked?</w:t>
            </w:r>
          </w:p>
        </w:tc>
      </w:tr>
      <w:tr>
        <w:trPr>
          <w:cantSplit w:val="0"/>
          <w:trHeight w:val="111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0" w:line="240" w:lineRule="auto"/>
              <w:rPr/>
            </w:pPr>
            <w:r w:rsidDel="00000000" w:rsidR="00000000" w:rsidRPr="00000000">
              <w:rPr>
                <w:rtl w:val="0"/>
              </w:rPr>
              <w:t xml:space="preserve">E.g. “AI‑assisted agents resolve complex tickets 20% faster without reducing CSAT.”</w:t>
            </w:r>
          </w:p>
        </w:tc>
      </w:tr>
    </w:tbl>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bCs w:val="1"/>
        </w:rPr>
      </w:pPr>
      <w:r w:rsidDel="00000000" w:rsidR="00000000" w:rsidRPr="00000000">
        <w:rPr>
          <w:b w:val="1"/>
          <w:bCs w:val="1"/>
          <w:rtl w:val="0"/>
        </w:rPr>
        <w:t xml:space="preserve">Key metrics</w:t>
      </w:r>
    </w:p>
    <w:tbl>
      <w:tblPr>
        <w:tblStyle w:val="Table3"/>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20"/>
        <w:gridCol w:w="3420"/>
        <w:gridCol w:w="3420"/>
        <w:gridCol w:w="3420"/>
        <w:tblGridChange w:id="0">
          <w:tblGrid>
            <w:gridCol w:w="3420"/>
            <w:gridCol w:w="3420"/>
            <w:gridCol w:w="3420"/>
            <w:gridCol w:w="342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Metric</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Today</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Target</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Notes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CSAT</w:t>
            </w: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92%</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94%</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Maintain or improve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r>
    </w:tbl>
    <w:p w:rsidR="00000000" w:rsidDel="00000000" w:rsidP="00000000" w:rsidRDefault="00000000" w:rsidRPr="00000000" w14:paraId="00000022">
      <w:pPr>
        <w:keepNext w:val="0"/>
        <w:keepLines w:val="0"/>
        <w:spacing w:after="80" w:before="360" w:lineRule="auto"/>
        <w:rPr/>
      </w:pPr>
      <w:r w:rsidDel="00000000" w:rsidR="00000000" w:rsidRPr="00000000">
        <w:rPr>
          <w:b w:val="1"/>
          <w:bCs w:val="1"/>
          <w:rtl w:val="0"/>
        </w:rPr>
        <w:t xml:space="preserve">2. Set boundaries (what AI will and won’t do)</w:t>
        <w:br w:type="textWrapping"/>
      </w:r>
      <w:r w:rsidDel="00000000" w:rsidR="00000000" w:rsidRPr="00000000">
        <w:rPr>
          <w:rtl w:val="0"/>
        </w:rPr>
        <w:t xml:space="preserve">Decide upfront where AI is allowed to help and where human judgment must remain in control.</w:t>
      </w:r>
    </w:p>
    <w:tbl>
      <w:tblPr>
        <w:tblStyle w:val="Table4"/>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In scope:</w:t>
            </w:r>
          </w:p>
        </w:tc>
      </w:tr>
      <w:tr>
        <w:trPr>
          <w:cantSplit w:val="0"/>
          <w:trHeight w:val="193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Agent assist inside the ticketing tool to help engineers quickly find the right internal documentation.</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Out of scope (for now):</w:t>
            </w:r>
          </w:p>
        </w:tc>
      </w:tr>
      <w:tr>
        <w:trPr>
          <w:cantSplit w:val="0"/>
          <w:trHeight w:val="244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No AI‑generated responses sent directly to customers without human review.</w:t>
            </w:r>
          </w:p>
        </w:tc>
      </w:tr>
    </w:tbl>
    <w:p w:rsidR="00000000" w:rsidDel="00000000" w:rsidP="00000000" w:rsidRDefault="00000000" w:rsidRPr="00000000" w14:paraId="00000027">
      <w:pPr>
        <w:rPr>
          <w:b w:val="1"/>
          <w:bCs w:val="1"/>
        </w:rPr>
      </w:pPr>
      <w:r w:rsidDel="00000000" w:rsidR="00000000" w:rsidRPr="00000000">
        <w:rPr>
          <w:rtl w:val="0"/>
        </w:rPr>
      </w:r>
    </w:p>
    <w:p w:rsidR="00000000" w:rsidDel="00000000" w:rsidP="00000000" w:rsidRDefault="00000000" w:rsidRPr="00000000" w14:paraId="00000028">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29">
      <w:pPr>
        <w:rPr/>
      </w:pPr>
      <w:r w:rsidDel="00000000" w:rsidR="00000000" w:rsidRPr="00000000">
        <w:rPr>
          <w:b w:val="1"/>
          <w:bCs w:val="1"/>
          <w:rtl w:val="0"/>
        </w:rPr>
        <w:t xml:space="preserve">3. Check the basics</w:t>
        <w:br w:type="textWrapping"/>
      </w:r>
      <w:r w:rsidDel="00000000" w:rsidR="00000000" w:rsidRPr="00000000">
        <w:rPr>
          <w:rtl w:val="0"/>
        </w:rPr>
        <w:t xml:space="preserve">Make sure your knowledge, security, and measurement foundations are solid enough to support an AI pilot.</w:t>
      </w:r>
    </w:p>
    <w:tbl>
      <w:tblPr>
        <w:tblStyle w:val="Table5"/>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Knowledge</w:t>
            </w:r>
          </w:p>
        </w:tc>
      </w:tr>
      <w:tr>
        <w:trPr>
          <w:cantSplit w:val="0"/>
          <w:trHeight w:val="183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Primary knowledge lives in Confluence and resolved Salesforce cases. Support Ops owns curation.</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Security &amp; access</w:t>
            </w:r>
          </w:p>
        </w:tc>
      </w:tr>
      <w:tr>
        <w:trPr>
          <w:cantSplit w:val="0"/>
          <w:trHeight w:val="190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AI can access internal KBs and closed tickets, but not customer PII or billing data.</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Measurement</w:t>
            </w:r>
          </w:p>
        </w:tc>
      </w:tr>
      <w:tr>
        <w:trPr>
          <w:cantSplit w:val="0"/>
          <w:trHeight w:val="199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We will c</w:t>
            </w:r>
            <w:r w:rsidDel="00000000" w:rsidR="00000000" w:rsidRPr="00000000">
              <w:rPr>
                <w:rtl w:val="0"/>
              </w:rPr>
              <w:t xml:space="preserve">ompare a 20‑agent pilot group against the rest of the Tier 2 team.</w:t>
            </w:r>
          </w:p>
        </w:tc>
      </w:tr>
    </w:tbl>
    <w:p w:rsidR="00000000" w:rsidDel="00000000" w:rsidP="00000000" w:rsidRDefault="00000000" w:rsidRPr="00000000" w14:paraId="00000030">
      <w:pPr>
        <w:rPr/>
      </w:pPr>
      <w:r w:rsidDel="00000000" w:rsidR="00000000" w:rsidRPr="00000000">
        <w:rPr>
          <w:b w:val="1"/>
          <w:bCs w:val="1"/>
          <w:rtl w:val="0"/>
        </w:rPr>
        <w:t xml:space="preserve">4. Choose your pilot use cases (pick 1–2)</w:t>
        <w:br w:type="textWrapping"/>
      </w:r>
      <w:r w:rsidDel="00000000" w:rsidR="00000000" w:rsidRPr="00000000">
        <w:rPr>
          <w:rtl w:val="0"/>
        </w:rPr>
        <w:t xml:space="preserve">Select a small number of high-confidence use cases where AI can deliver visible value quickly.</w:t>
      </w:r>
    </w:p>
    <w:tbl>
      <w:tblPr>
        <w:tblStyle w:val="Table6"/>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80"/>
        <w:gridCol w:w="8100"/>
        <w:tblGridChange w:id="0">
          <w:tblGrid>
            <w:gridCol w:w="5580"/>
            <w:gridCol w:w="810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Use case</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Why this matters</w:t>
            </w:r>
          </w:p>
        </w:tc>
      </w:tr>
      <w:tr>
        <w:trPr>
          <w:cantSplit w:val="0"/>
          <w:trHeight w:val="1537.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Agent assist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Engineers waste time searching across tools</w:t>
            </w:r>
          </w:p>
        </w:tc>
      </w:tr>
      <w:tr>
        <w:trPr>
          <w:cantSplit w:val="0"/>
          <w:trHeight w:val="1537.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Ticket summaries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Escalations lose context</w:t>
            </w:r>
          </w:p>
        </w:tc>
      </w:tr>
    </w:tbl>
    <w:p w:rsidR="00000000" w:rsidDel="00000000" w:rsidP="00000000" w:rsidRDefault="00000000" w:rsidRPr="00000000" w14:paraId="00000037">
      <w:pPr>
        <w:rPr>
          <w:b w:val="1"/>
          <w:bCs w:val="1"/>
        </w:rPr>
      </w:pPr>
      <w:r w:rsidDel="00000000" w:rsidR="00000000" w:rsidRPr="00000000">
        <w:rPr>
          <w:rtl w:val="0"/>
        </w:rPr>
      </w:r>
    </w:p>
    <w:p w:rsidR="00000000" w:rsidDel="00000000" w:rsidP="00000000" w:rsidRDefault="00000000" w:rsidRPr="00000000" w14:paraId="00000038">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39">
      <w:pPr>
        <w:rPr/>
      </w:pPr>
      <w:r w:rsidDel="00000000" w:rsidR="00000000" w:rsidRPr="00000000">
        <w:rPr>
          <w:b w:val="1"/>
          <w:bCs w:val="1"/>
          <w:rtl w:val="0"/>
        </w:rPr>
        <w:t xml:space="preserve">5. Prepare knowledge</w:t>
        <w:br w:type="textWrapping"/>
      </w:r>
      <w:r w:rsidDel="00000000" w:rsidR="00000000" w:rsidRPr="00000000">
        <w:rPr>
          <w:rtl w:val="0"/>
        </w:rPr>
        <w:t xml:space="preserve">Identify and include only the most useful, reliable support knowledge to start — you can expand later.</w:t>
      </w:r>
    </w:p>
    <w:tbl>
      <w:tblPr>
        <w:tblStyle w:val="Table7"/>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Include first:</w:t>
            </w:r>
          </w:p>
        </w:tc>
      </w:tr>
      <w:tr>
        <w:trPr>
          <w:cantSplit w:val="0"/>
          <w:trHeight w:val="216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Top 50 most‑viewed KB articles and the last 6 months of resolved Tier 2 tickets.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Add later:</w:t>
            </w:r>
          </w:p>
        </w:tc>
      </w:tr>
      <w:tr>
        <w:trPr>
          <w:cantSplit w:val="0"/>
          <w:trHeight w:val="210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Slack threads added only after security review and content cleanup.</w:t>
            </w:r>
          </w:p>
        </w:tc>
      </w:tr>
    </w:tbl>
    <w:p w:rsidR="00000000" w:rsidDel="00000000" w:rsidP="00000000" w:rsidRDefault="00000000" w:rsidRPr="00000000" w14:paraId="0000003E">
      <w:pPr>
        <w:rPr>
          <w:b w:val="1"/>
          <w:bCs w:val="1"/>
        </w:rPr>
      </w:pPr>
      <w:r w:rsidDel="00000000" w:rsidR="00000000" w:rsidRPr="00000000">
        <w:rPr>
          <w:rtl w:val="0"/>
        </w:rPr>
      </w:r>
    </w:p>
    <w:p w:rsidR="00000000" w:rsidDel="00000000" w:rsidP="00000000" w:rsidRDefault="00000000" w:rsidRPr="00000000" w14:paraId="0000003F">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40">
      <w:pPr>
        <w:rPr/>
      </w:pPr>
      <w:r w:rsidDel="00000000" w:rsidR="00000000" w:rsidRPr="00000000">
        <w:rPr>
          <w:b w:val="1"/>
          <w:bCs w:val="1"/>
          <w:rtl w:val="0"/>
        </w:rPr>
        <w:t xml:space="preserve">6. Drive adoption (avoid shelfware)</w:t>
        <w:br w:type="textWrapping"/>
      </w:r>
      <w:r w:rsidDel="00000000" w:rsidR="00000000" w:rsidRPr="00000000">
        <w:rPr>
          <w:rtl w:val="0"/>
        </w:rPr>
        <w:t xml:space="preserve">Create clear expectations and habits so AI becomes part of daily work, not an optional experiment.</w:t>
      </w:r>
    </w:p>
    <w:p w:rsidR="00000000" w:rsidDel="00000000" w:rsidP="00000000" w:rsidRDefault="00000000" w:rsidRPr="00000000" w14:paraId="00000041">
      <w:pPr>
        <w:widowControl w:val="0"/>
        <w:spacing w:after="0" w:line="240" w:lineRule="auto"/>
        <w:rPr/>
      </w:pPr>
      <w:r w:rsidDel="00000000" w:rsidR="00000000" w:rsidRPr="00000000">
        <w:rPr>
          <w:rtl w:val="0"/>
        </w:rPr>
      </w:r>
    </w:p>
    <w:tbl>
      <w:tblPr>
        <w:tblStyle w:val="Table8"/>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126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240" w:lineRule="auto"/>
              <w:rPr/>
            </w:pPr>
            <w:r w:rsidDel="00000000" w:rsidR="00000000" w:rsidRPr="00000000">
              <w:rPr>
                <w:rtl w:val="0"/>
              </w:rPr>
              <w:t xml:space="preserve">E.g. During the pilot, agents are required to query AI before escalating a ticket.</w:t>
            </w:r>
          </w:p>
        </w:tc>
      </w:tr>
    </w:tbl>
    <w:p w:rsidR="00000000" w:rsidDel="00000000" w:rsidP="00000000" w:rsidRDefault="00000000" w:rsidRPr="00000000" w14:paraId="00000043">
      <w:pPr>
        <w:widowControl w:val="0"/>
        <w:spacing w:after="0" w:line="240" w:lineRule="auto"/>
        <w:rPr/>
      </w:pPr>
      <w:r w:rsidDel="00000000" w:rsidR="00000000" w:rsidRPr="00000000">
        <w:rPr>
          <w:rtl w:val="0"/>
        </w:rPr>
      </w:r>
    </w:p>
    <w:p w:rsidR="00000000" w:rsidDel="00000000" w:rsidP="00000000" w:rsidRDefault="00000000" w:rsidRPr="00000000" w14:paraId="00000044">
      <w:pPr>
        <w:widowControl w:val="0"/>
        <w:spacing w:after="0" w:line="240" w:lineRule="auto"/>
        <w:rPr/>
      </w:pPr>
      <w:r w:rsidDel="00000000" w:rsidR="00000000" w:rsidRPr="00000000">
        <w:rPr>
          <w:rtl w:val="0"/>
        </w:rPr>
      </w:r>
    </w:p>
    <w:p w:rsidR="00000000" w:rsidDel="00000000" w:rsidP="00000000" w:rsidRDefault="00000000" w:rsidRPr="00000000" w14:paraId="00000045">
      <w:pPr>
        <w:widowControl w:val="0"/>
        <w:spacing w:after="0" w:line="240" w:lineRule="auto"/>
        <w:rPr>
          <w:b w:val="1"/>
          <w:bCs w:val="1"/>
        </w:rPr>
      </w:pPr>
      <w:r w:rsidDel="00000000" w:rsidR="00000000" w:rsidRPr="00000000">
        <w:rPr>
          <w:b w:val="1"/>
          <w:bCs w:val="1"/>
          <w:rtl w:val="0"/>
        </w:rPr>
        <w:t xml:space="preserve">Adoption signals to watch:</w:t>
      </w:r>
    </w:p>
    <w:p w:rsidR="00000000" w:rsidDel="00000000" w:rsidP="00000000" w:rsidRDefault="00000000" w:rsidRPr="00000000" w14:paraId="00000046">
      <w:pPr>
        <w:widowControl w:val="0"/>
        <w:spacing w:after="0" w:line="240" w:lineRule="auto"/>
        <w:rPr>
          <w:b w:val="1"/>
          <w:bCs w:val="1"/>
        </w:rPr>
      </w:pPr>
      <w:r w:rsidDel="00000000" w:rsidR="00000000" w:rsidRPr="00000000">
        <w:rPr>
          <w:rtl w:val="0"/>
        </w:rPr>
      </w:r>
    </w:p>
    <w:tbl>
      <w:tblPr>
        <w:tblStyle w:val="Table9"/>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8820"/>
        <w:tblGridChange w:id="0">
          <w:tblGrid>
            <w:gridCol w:w="4860"/>
            <w:gridCol w:w="882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Signal</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Healthy looks like</w:t>
            </w:r>
          </w:p>
        </w:tc>
      </w:tr>
      <w:tr>
        <w:trPr>
          <w:cantSplit w:val="0"/>
          <w:trHeight w:val="95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Weekly usage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80%+ of pilot agents active</w:t>
            </w:r>
          </w:p>
        </w:tc>
      </w:tr>
      <w:tr>
        <w:trPr>
          <w:cantSplit w:val="0"/>
          <w:trHeight w:val="95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Queries per agent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5-10 per day</w:t>
            </w:r>
          </w:p>
        </w:tc>
      </w:tr>
      <w:tr>
        <w:trPr>
          <w:cantSplit w:val="0"/>
          <w:trHeight w:val="95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Agent feedback</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“Saves time” sentiment</w:t>
            </w:r>
          </w:p>
        </w:tc>
      </w:tr>
    </w:tbl>
    <w:p w:rsidR="00000000" w:rsidDel="00000000" w:rsidP="00000000" w:rsidRDefault="00000000" w:rsidRPr="00000000" w14:paraId="0000004F">
      <w:pPr>
        <w:rPr>
          <w:b w:val="1"/>
          <w:bCs w:val="1"/>
        </w:rPr>
      </w:pPr>
      <w:r w:rsidDel="00000000" w:rsidR="00000000" w:rsidRPr="00000000">
        <w:rPr>
          <w:rtl w:val="0"/>
        </w:rPr>
      </w:r>
    </w:p>
    <w:p w:rsidR="00000000" w:rsidDel="00000000" w:rsidP="00000000" w:rsidRDefault="00000000" w:rsidRPr="00000000" w14:paraId="00000050">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51">
      <w:pPr>
        <w:rPr/>
      </w:pPr>
      <w:r w:rsidDel="00000000" w:rsidR="00000000" w:rsidRPr="00000000">
        <w:rPr>
          <w:b w:val="1"/>
          <w:bCs w:val="1"/>
          <w:rtl w:val="0"/>
        </w:rPr>
        <w:t xml:space="preserve">7. Add 1–2 simple automations</w:t>
        <w:br w:type="textWrapping"/>
      </w:r>
      <w:r w:rsidDel="00000000" w:rsidR="00000000" w:rsidRPr="00000000">
        <w:rPr>
          <w:rtl w:val="0"/>
        </w:rPr>
        <w:t xml:space="preserve">Introduce low-risk automations that save time without removing human oversight.</w:t>
      </w:r>
    </w:p>
    <w:tbl>
      <w:tblPr>
        <w:tblStyle w:val="Table10"/>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60"/>
        <w:gridCol w:w="4560"/>
        <w:gridCol w:w="4560"/>
        <w:tblGridChange w:id="0">
          <w:tblGrid>
            <w:gridCol w:w="4560"/>
            <w:gridCol w:w="4560"/>
            <w:gridCol w:w="456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Automation</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Trigger</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Success metric</w:t>
            </w:r>
          </w:p>
        </w:tc>
      </w:tr>
      <w:tr>
        <w:trPr>
          <w:cantSplit w:val="0"/>
          <w:trHeight w:val="160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Ticket summary</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Escalation flag</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Escalation handling time</w:t>
            </w:r>
          </w:p>
        </w:tc>
      </w:tr>
      <w:tr>
        <w:trPr>
          <w:cantSplit w:val="0"/>
          <w:trHeight w:val="160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r>
          </w:p>
        </w:tc>
      </w:tr>
    </w:tbl>
    <w:p w:rsidR="00000000" w:rsidDel="00000000" w:rsidP="00000000" w:rsidRDefault="00000000" w:rsidRPr="00000000" w14:paraId="0000005B">
      <w:pPr>
        <w:keepNext w:val="0"/>
        <w:keepLines w:val="0"/>
        <w:spacing w:after="80" w:before="36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5C">
      <w:pPr>
        <w:keepNext w:val="0"/>
        <w:keepLines w:val="0"/>
        <w:spacing w:after="80" w:before="360" w:lineRule="auto"/>
        <w:rPr/>
      </w:pPr>
      <w:r w:rsidDel="00000000" w:rsidR="00000000" w:rsidRPr="00000000">
        <w:rPr>
          <w:b w:val="1"/>
          <w:bCs w:val="1"/>
          <w:rtl w:val="0"/>
        </w:rPr>
        <w:t xml:space="preserve">8. Prove impact (pilot review)</w:t>
        <w:br w:type="textWrapping"/>
      </w:r>
      <w:r w:rsidDel="00000000" w:rsidR="00000000" w:rsidRPr="00000000">
        <w:rPr>
          <w:rtl w:val="0"/>
        </w:rPr>
        <w:t xml:space="preserve">Compare before-and-after results to confirm whether AI is improving the outcomes you targeted.</w:t>
      </w:r>
    </w:p>
    <w:tbl>
      <w:tblPr>
        <w:tblStyle w:val="Table11"/>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20"/>
        <w:gridCol w:w="3420"/>
        <w:gridCol w:w="3420"/>
        <w:gridCol w:w="3420"/>
        <w:tblGridChange w:id="0">
          <w:tblGrid>
            <w:gridCol w:w="3420"/>
            <w:gridCol w:w="3420"/>
            <w:gridCol w:w="3420"/>
            <w:gridCol w:w="342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Metric</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Before</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After </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Change</w:t>
            </w:r>
          </w:p>
        </w:tc>
      </w:tr>
      <w:tr>
        <w:trPr>
          <w:cantSplit w:val="0"/>
          <w:trHeight w:val="637.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Median TTR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4.8 days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3.9 days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19%</w:t>
            </w:r>
          </w:p>
        </w:tc>
      </w:tr>
      <w:tr>
        <w:trPr>
          <w:cantSplit w:val="0"/>
          <w:trHeight w:val="637.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CSAT</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92%</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93.5%</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 pts</w:t>
            </w:r>
          </w:p>
        </w:tc>
      </w:tr>
    </w:tbl>
    <w:p w:rsidR="00000000" w:rsidDel="00000000" w:rsidP="00000000" w:rsidRDefault="00000000" w:rsidRPr="00000000" w14:paraId="00000069">
      <w:pPr>
        <w:spacing w:after="80" w:before="360" w:lineRule="auto"/>
        <w:rPr>
          <w:b w:val="1"/>
          <w:bCs w:val="1"/>
        </w:rPr>
      </w:pPr>
      <w:r w:rsidDel="00000000" w:rsidR="00000000" w:rsidRPr="00000000">
        <w:rPr>
          <w:rtl w:val="0"/>
        </w:rPr>
      </w:r>
    </w:p>
    <w:tbl>
      <w:tblPr>
        <w:tblStyle w:val="Table12"/>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A">
            <w:pPr>
              <w:widowControl w:val="0"/>
              <w:spacing w:after="0" w:line="240" w:lineRule="auto"/>
              <w:rPr>
                <w:b w:val="1"/>
                <w:bCs w:val="1"/>
                <w:color w:val="ffffff"/>
              </w:rPr>
            </w:pPr>
            <w:r w:rsidDel="00000000" w:rsidR="00000000" w:rsidRPr="00000000">
              <w:rPr>
                <w:b w:val="1"/>
                <w:bCs w:val="1"/>
                <w:color w:val="ffffff"/>
                <w:rtl w:val="0"/>
              </w:rPr>
              <w:t xml:space="preserve">What clearly improved?</w:t>
            </w:r>
          </w:p>
        </w:tc>
      </w:tr>
      <w:tr>
        <w:trPr>
          <w:cantSplit w:val="0"/>
          <w:trHeight w:val="162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after="0" w:line="240" w:lineRule="auto"/>
              <w:rPr>
                <w:b w:val="1"/>
                <w:bCs w:val="1"/>
              </w:rPr>
            </w:pPr>
            <w:r w:rsidDel="00000000" w:rsidR="00000000" w:rsidRPr="00000000">
              <w:rPr>
                <w:rtl w:val="0"/>
              </w:rPr>
              <w:t xml:space="preserve">E.g. Faster time to resolution on complex tickets, especially where agents previously had to search across multiple tools.</w:t>
            </w: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ffffff"/>
              </w:rPr>
            </w:pPr>
            <w:r w:rsidDel="00000000" w:rsidR="00000000" w:rsidRPr="00000000">
              <w:rPr>
                <w:b w:val="1"/>
                <w:bCs w:val="1"/>
                <w:color w:val="ffffff"/>
                <w:rtl w:val="0"/>
              </w:rPr>
              <w:t xml:space="preserve">What didn’t?</w:t>
            </w:r>
          </w:p>
        </w:tc>
      </w:tr>
      <w:tr>
        <w:trPr>
          <w:cantSplit w:val="0"/>
          <w:trHeight w:val="159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AI adoption varied by agent, with some relying on it heavily and others under-utilizing it.</w:t>
            </w:r>
          </w:p>
        </w:tc>
      </w:tr>
    </w:tbl>
    <w:p w:rsidR="00000000" w:rsidDel="00000000" w:rsidP="00000000" w:rsidRDefault="00000000" w:rsidRPr="00000000" w14:paraId="0000006E">
      <w:pPr>
        <w:spacing w:after="80" w:before="360" w:lineRule="auto"/>
        <w:rPr>
          <w:b w:val="1"/>
          <w:bCs w:val="1"/>
        </w:rPr>
      </w:pPr>
      <w:r w:rsidDel="00000000" w:rsidR="00000000" w:rsidRPr="00000000">
        <w:rPr>
          <w:rtl w:val="0"/>
        </w:rPr>
      </w:r>
    </w:p>
    <w:p w:rsidR="00000000" w:rsidDel="00000000" w:rsidP="00000000" w:rsidRDefault="00000000" w:rsidRPr="00000000" w14:paraId="0000006F">
      <w:pPr>
        <w:spacing w:after="240" w:before="240" w:lineRule="auto"/>
        <w:rPr/>
      </w:pPr>
      <w:r w:rsidDel="00000000" w:rsidR="00000000" w:rsidRPr="00000000">
        <w:rPr>
          <w:b w:val="1"/>
          <w:bCs w:val="1"/>
          <w:rtl w:val="0"/>
        </w:rPr>
        <w:t xml:space="preserve">9. Decide: Scale, adjust, or stop</w:t>
        <w:br w:type="textWrapping"/>
      </w:r>
      <w:r w:rsidDel="00000000" w:rsidR="00000000" w:rsidRPr="00000000">
        <w:rPr>
          <w:rtl w:val="0"/>
        </w:rPr>
        <w:t xml:space="preserve">Use pilot results to make a clear decision on whether to expand, refine, or pause the initiative.</w:t>
      </w:r>
    </w:p>
    <w:tbl>
      <w:tblPr>
        <w:tblStyle w:val="Table13"/>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325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after="0" w:line="240" w:lineRule="auto"/>
              <w:rPr/>
            </w:pPr>
            <w:r w:rsidDel="00000000" w:rsidR="00000000" w:rsidRPr="00000000">
              <w:rPr>
                <w:rtl w:val="0"/>
              </w:rPr>
              <w:t xml:space="preserve">E.g, Scale agent assist to all Tier 2 engineers before expanding to self‑service.</w:t>
            </w:r>
          </w:p>
        </w:tc>
      </w:tr>
    </w:tbl>
    <w:p w:rsidR="00000000" w:rsidDel="00000000" w:rsidP="00000000" w:rsidRDefault="00000000" w:rsidRPr="00000000" w14:paraId="00000071">
      <w:pPr>
        <w:spacing w:after="240" w:before="240" w:lineRule="auto"/>
        <w:rPr>
          <w:b w:val="1"/>
          <w:bCs w:val="1"/>
        </w:rPr>
      </w:pPr>
      <w:r w:rsidDel="00000000" w:rsidR="00000000" w:rsidRPr="00000000">
        <w:rPr>
          <w:rtl w:val="0"/>
        </w:rPr>
      </w:r>
    </w:p>
    <w:p w:rsidR="00000000" w:rsidDel="00000000" w:rsidP="00000000" w:rsidRDefault="00000000" w:rsidRPr="00000000" w14:paraId="00000072">
      <w:pPr>
        <w:spacing w:after="240" w:before="24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73">
      <w:pPr>
        <w:spacing w:after="240" w:before="240" w:lineRule="auto"/>
        <w:rPr/>
      </w:pPr>
      <w:r w:rsidDel="00000000" w:rsidR="00000000" w:rsidRPr="00000000">
        <w:rPr>
          <w:b w:val="1"/>
          <w:bCs w:val="1"/>
          <w:rtl w:val="0"/>
        </w:rPr>
        <w:t xml:space="preserve">10. Keep it working</w:t>
        <w:br w:type="textWrapping"/>
      </w:r>
      <w:r w:rsidDel="00000000" w:rsidR="00000000" w:rsidRPr="00000000">
        <w:rPr>
          <w:rtl w:val="0"/>
        </w:rPr>
        <w:t xml:space="preserve">Establish a lightweight cadence to review performance, fix gaps, and continuously improve results.</w:t>
      </w:r>
    </w:p>
    <w:tbl>
      <w:tblPr>
        <w:tblStyle w:val="Table14"/>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74">
            <w:pPr>
              <w:widowControl w:val="0"/>
              <w:spacing w:after="0" w:line="240" w:lineRule="auto"/>
              <w:rPr>
                <w:b w:val="1"/>
                <w:bCs w:val="1"/>
                <w:color w:val="ffffff"/>
              </w:rPr>
            </w:pPr>
            <w:r w:rsidDel="00000000" w:rsidR="00000000" w:rsidRPr="00000000">
              <w:rPr>
                <w:b w:val="1"/>
                <w:bCs w:val="1"/>
                <w:color w:val="ffffff"/>
                <w:rtl w:val="0"/>
              </w:rPr>
              <w:t xml:space="preserve">Monthly check-in</w:t>
            </w:r>
          </w:p>
        </w:tc>
      </w:tr>
      <w:tr>
        <w:trPr>
          <w:cantSplit w:val="0"/>
          <w:trHeight w:val="247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after="0" w:line="240" w:lineRule="auto"/>
              <w:rPr/>
            </w:pPr>
            <w:r w:rsidDel="00000000" w:rsidR="00000000" w:rsidRPr="00000000">
              <w:rPr>
                <w:rtl w:val="0"/>
              </w:rPr>
              <w:t xml:space="preserve">E.g. Monthly review identifies top 10 unanswered questions and assigns owners to fix them.</w:t>
            </w:r>
          </w:p>
        </w:tc>
      </w:tr>
    </w:tbl>
    <w:p w:rsidR="00000000" w:rsidDel="00000000" w:rsidP="00000000" w:rsidRDefault="00000000" w:rsidRPr="00000000" w14:paraId="00000076">
      <w:pPr>
        <w:spacing w:after="80" w:before="360" w:lineRule="auto"/>
        <w:rPr>
          <w:b w:val="1"/>
          <w:bCs w:val="1"/>
        </w:rPr>
      </w:pP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pageBreakBefore w:val="0"/>
      <w:rPr>
        <w:rFonts w:ascii="Spectral" w:cs="Spectral" w:eastAsia="Spectral" w:hAnsi="Spectral"/>
        <w:i w:val="1"/>
        <w:iCs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3"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iCs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AI‑first support playbook</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bCs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i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